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82A20" w14:textId="7B6E1C79" w:rsidR="00256AF5" w:rsidRDefault="00256AF5" w:rsidP="00256AF5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>
        <w:rPr>
          <w:rFonts w:asciiTheme="minorHAnsi" w:eastAsia="PMingLiU" w:hAnsiTheme="minorHAnsi" w:cstheme="minorHAnsi"/>
          <w:sz w:val="24"/>
          <w:szCs w:val="24"/>
          <w:lang w:eastAsia="ja-JP"/>
        </w:rPr>
        <w:t>3GPP TSG-RAN WG4 Meeting #101-</w:t>
      </w:r>
      <w:r w:rsidR="00460530">
        <w:rPr>
          <w:rFonts w:asciiTheme="minorHAnsi" w:eastAsia="PMingLiU" w:hAnsiTheme="minorHAnsi" w:cstheme="minorHAnsi"/>
          <w:sz w:val="24"/>
          <w:szCs w:val="24"/>
          <w:lang w:eastAsia="ja-JP"/>
        </w:rPr>
        <w:t>bis-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e                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Pr="008B20B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 R4-</w:t>
      </w:r>
      <w:r w:rsidR="00BB3AD2" w:rsidRPr="00BB3AD2">
        <w:rPr>
          <w:rFonts w:asciiTheme="minorHAnsi" w:eastAsia="PMingLiU" w:hAnsiTheme="minorHAnsi" w:cstheme="minorHAnsi"/>
          <w:sz w:val="24"/>
          <w:szCs w:val="24"/>
          <w:lang w:val="en-US" w:eastAsia="ja-JP"/>
        </w:rPr>
        <w:t>2202626</w:t>
      </w:r>
    </w:p>
    <w:p w14:paraId="038FF64A" w14:textId="2B0047AC" w:rsidR="00DE3B79" w:rsidRPr="00256AF5" w:rsidRDefault="00256AF5" w:rsidP="00256AF5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Electronic Meeting, 1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7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 – 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25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 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January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, 202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bookmarkStart w:id="8" w:name="OLE_LINK47"/>
      <w:bookmarkStart w:id="9" w:name="OLE_LINK48"/>
      <w:bookmarkStart w:id="10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5"/>
      <w:bookmarkEnd w:id="6"/>
      <w:bookmarkEnd w:id="7"/>
      <w:bookmarkEnd w:id="8"/>
      <w:bookmarkEnd w:id="9"/>
      <w:bookmarkEnd w:id="10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1"/>
    <w:bookmarkEnd w:id="12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568791D5" w14:textId="77777777" w:rsidR="00DE3B79" w:rsidRPr="004E3939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76AE6AE1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RAN4#101-bis-e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0B264336" w14:textId="77777777" w:rsidR="0021456D" w:rsidRDefault="0021456D" w:rsidP="0021456D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ED3DC76" w14:textId="063D2E75" w:rsidR="00BC74D2" w:rsidRDefault="00A127F8" w:rsidP="00132C3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can be used for RRM measurement on dormant </w:t>
            </w:r>
            <w:proofErr w:type="spellStart"/>
            <w:r>
              <w:rPr>
                <w:bCs/>
                <w:iCs/>
                <w:lang w:val="en-US" w:eastAsia="zh-CN"/>
              </w:rPr>
              <w:t>SCell</w:t>
            </w:r>
            <w:proofErr w:type="spellEnd"/>
          </w:p>
          <w:p w14:paraId="41BA3E3B" w14:textId="62397250" w:rsidR="00A127F8" w:rsidRPr="00957F89" w:rsidRDefault="00A127F8" w:rsidP="00132C3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It is FFS whether NCSG can be used for CSI-RS based inter-frequency measurement with gap.</w:t>
            </w:r>
          </w:p>
          <w:p w14:paraId="0BDB4C10" w14:textId="77777777" w:rsidR="00290928" w:rsidRPr="00E95F30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2CB278C9" w14:textId="373C7D25" w:rsidR="00290928" w:rsidRDefault="00290928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Applicable scenarios</w:t>
            </w:r>
            <w:r>
              <w:rPr>
                <w:lang w:eastAsia="zh-CN"/>
              </w:rPr>
              <w:t>:</w:t>
            </w:r>
          </w:p>
          <w:p w14:paraId="55D0871E" w14:textId="77777777" w:rsidR="00290928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462F8310" w14:textId="281C383F" w:rsidR="00240445" w:rsidRDefault="000E2C85" w:rsidP="000E2C8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0E2C85">
              <w:rPr>
                <w:bCs/>
                <w:iCs/>
                <w:lang w:val="en-US" w:eastAsia="zh-CN"/>
              </w:rPr>
              <w:t>RAN4 will not further discuss feasibility of NCSG in EN-DC, NE-DC and NR-DC. The feasibility is expected to be decided in RAN2.</w:t>
            </w:r>
          </w:p>
          <w:p w14:paraId="08C1EA12" w14:textId="5A9AF15B" w:rsidR="000E2C85" w:rsidRPr="001C1455" w:rsidRDefault="00EF37D9" w:rsidP="000E2C8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is feasible in FR2 </w:t>
            </w:r>
          </w:p>
          <w:p w14:paraId="009FF035" w14:textId="77777777" w:rsidR="00CC424F" w:rsidRDefault="00CC424F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3FAF6DCF" w14:textId="27BB0D50" w:rsidR="00D37396" w:rsidRPr="003769A8" w:rsidRDefault="002B0883" w:rsidP="003769A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09BCB7A0" w14:textId="578F126D" w:rsidR="00D37396" w:rsidRPr="005875F6" w:rsidRDefault="00D37396" w:rsidP="00D3739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Mandatory</w:t>
            </w:r>
            <w:r w:rsidRPr="005875F6">
              <w:rPr>
                <w:iCs/>
                <w:lang w:eastAsia="zh-CN"/>
              </w:rPr>
              <w:t xml:space="preserve"> NCSG patterns</w:t>
            </w:r>
            <w:r>
              <w:rPr>
                <w:iCs/>
                <w:lang w:eastAsia="zh-CN"/>
              </w:rPr>
              <w:t xml:space="preserve"> for UE supporting this feature</w:t>
            </w:r>
          </w:p>
          <w:p w14:paraId="27DD3DCF" w14:textId="77777777" w:rsidR="00D37396" w:rsidRDefault="00D37396" w:rsidP="00D3739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5F8AEC6A" w14:textId="3C9F4BFE" w:rsidR="002B0883" w:rsidRDefault="00B36F78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iCs/>
                <w:lang w:val="en-US" w:eastAsia="zh-CN"/>
              </w:rPr>
              <w:t>On top of #0 and #1</w:t>
            </w:r>
            <w:r>
              <w:rPr>
                <w:iCs/>
                <w:lang w:val="en-US" w:eastAsia="zh-CN"/>
              </w:rPr>
              <w:t>,</w:t>
            </w:r>
            <w:r w:rsidRPr="00B36F78" w:rsidDel="00B36F78">
              <w:rPr>
                <w:bCs/>
                <w:iCs/>
                <w:lang w:eastAsia="zh-CN"/>
              </w:rPr>
              <w:t xml:space="preserve"> </w:t>
            </w:r>
            <w:r w:rsidRPr="00B36F78">
              <w:rPr>
                <w:bCs/>
                <w:iCs/>
                <w:lang w:eastAsia="zh-CN"/>
              </w:rPr>
              <w:t>NCSG patterns corresponding to legacy patterns #13 and #14 are mandatorily supported in FR2 for per-FR capable UE</w:t>
            </w:r>
          </w:p>
          <w:p w14:paraId="7041D687" w14:textId="158D516E" w:rsidR="008E15AC" w:rsidRPr="001A1EAD" w:rsidRDefault="008E15AC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8E15AC">
              <w:rPr>
                <w:bCs/>
                <w:iCs/>
                <w:lang w:val="en-US" w:eastAsia="zh-CN"/>
              </w:rPr>
              <w:t>UE can indicate support of some NCSG patterns which can only be used for NR-only measurement.</w:t>
            </w:r>
            <w:r>
              <w:rPr>
                <w:bCs/>
                <w:iCs/>
                <w:lang w:val="en-US" w:eastAsia="zh-CN"/>
              </w:rPr>
              <w:t xml:space="preserve"> It is FFS </w:t>
            </w:r>
            <w:r w:rsidRPr="008E15AC">
              <w:rPr>
                <w:bCs/>
                <w:iCs/>
                <w:lang w:val="en-US" w:eastAsia="zh-CN"/>
              </w:rPr>
              <w:t>how to indicate support NR-only NCSG pattern</w:t>
            </w:r>
            <w:r>
              <w:rPr>
                <w:bCs/>
                <w:iCs/>
                <w:lang w:val="en-US" w:eastAsia="zh-CN"/>
              </w:rPr>
              <w:t>.</w:t>
            </w:r>
          </w:p>
          <w:p w14:paraId="3C7F9FD6" w14:textId="68EFDE53" w:rsidR="001E02F5" w:rsidRPr="001371DC" w:rsidRDefault="001E02F5" w:rsidP="001A1EAD">
            <w:pPr>
              <w:pStyle w:val="BodyText"/>
              <w:spacing w:beforeLines="50" w:before="120" w:afterLines="50" w:after="120"/>
              <w:ind w:leftChars="100" w:left="200"/>
              <w:jc w:val="center"/>
              <w:rPr>
                <w:bCs/>
                <w:iCs/>
                <w:lang w:eastAsia="zh-CN"/>
              </w:rPr>
            </w:pPr>
          </w:p>
          <w:p w14:paraId="27BC77CA" w14:textId="3802EF3B" w:rsidR="00542BA1" w:rsidRPr="005875F6" w:rsidRDefault="00542BA1" w:rsidP="00542BA1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Timing offset for NCSG</w:t>
            </w:r>
          </w:p>
          <w:p w14:paraId="044C44DF" w14:textId="77777777" w:rsidR="00542BA1" w:rsidRDefault="00542BA1" w:rsidP="00542BA1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5738D1BE" w14:textId="77777777" w:rsidR="007E30BC" w:rsidRPr="00121580" w:rsidRDefault="007E30BC" w:rsidP="001A1EA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bCs/>
                <w:iCs/>
                <w:lang w:eastAsia="zh-CN"/>
              </w:rPr>
              <w:t xml:space="preserve">Option 1: </w:t>
            </w:r>
            <w:r w:rsidRPr="00121580">
              <w:rPr>
                <w:bCs/>
                <w:iCs/>
                <w:lang w:eastAsia="zh-CN"/>
              </w:rPr>
              <w:t xml:space="preserve">The offset of NCSG refers to the starting point of VIL1. </w:t>
            </w:r>
          </w:p>
          <w:p w14:paraId="39D356CB" w14:textId="77777777" w:rsidR="007E30BC" w:rsidRDefault="007E30BC" w:rsidP="001A1EA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bCs/>
                <w:iCs/>
                <w:lang w:eastAsia="zh-CN"/>
              </w:rPr>
              <w:t xml:space="preserve">Option 2: </w:t>
            </w:r>
            <w:r w:rsidRPr="00121580">
              <w:rPr>
                <w:bCs/>
                <w:iCs/>
                <w:lang w:eastAsia="zh-CN"/>
              </w:rPr>
              <w:t>The offset of NCSG refers to the starting point of ML – RRT.</w:t>
            </w:r>
          </w:p>
          <w:p w14:paraId="0FDA9EBB" w14:textId="40AB064D" w:rsidR="00542BA1" w:rsidRDefault="00D3388B" w:rsidP="001A1EAD">
            <w:pPr>
              <w:pStyle w:val="BodyText"/>
              <w:spacing w:beforeLines="50" w:before="120" w:afterLines="50" w:after="120"/>
              <w:jc w:val="center"/>
              <w:rPr>
                <w:bCs/>
                <w:iCs/>
                <w:lang w:eastAsia="zh-CN"/>
              </w:rPr>
            </w:pPr>
            <w:r w:rsidRPr="001371DC">
              <w:rPr>
                <w:bCs/>
                <w:iCs/>
                <w:noProof/>
                <w:lang w:eastAsia="zh-CN"/>
              </w:rPr>
              <w:drawing>
                <wp:inline distT="0" distB="0" distL="0" distR="0" wp14:anchorId="57625E06" wp14:editId="73BDFD52">
                  <wp:extent cx="3439716" cy="2314575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3614" cy="2317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23A9B7" w14:textId="184C4929" w:rsidR="001E02F5" w:rsidRPr="005875F6" w:rsidRDefault="001E02F5" w:rsidP="001E02F5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MGTA for NCSG</w:t>
            </w:r>
          </w:p>
          <w:p w14:paraId="7E328434" w14:textId="77777777" w:rsidR="001E02F5" w:rsidRDefault="001E02F5" w:rsidP="001E02F5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30D1BD34" w14:textId="26892457" w:rsidR="00F74049" w:rsidRDefault="001E02F5" w:rsidP="001E02F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On top of existing MGTA {</w:t>
            </w:r>
            <w:r w:rsidRPr="001E02F5">
              <w:rPr>
                <w:bCs/>
                <w:iCs/>
                <w:lang w:val="en-US" w:eastAsia="zh-CN"/>
              </w:rPr>
              <w:t>ms0, ms0dot25, ms0dot5</w:t>
            </w:r>
            <w:r>
              <w:rPr>
                <w:bCs/>
                <w:iCs/>
                <w:lang w:eastAsia="zh-CN"/>
              </w:rPr>
              <w:t xml:space="preserve">}, a new MGTA {ms0dot75} </w:t>
            </w:r>
            <w:r w:rsidR="00674061">
              <w:rPr>
                <w:bCs/>
                <w:iCs/>
                <w:lang w:eastAsia="zh-CN"/>
              </w:rPr>
              <w:t>is</w:t>
            </w:r>
            <w:r>
              <w:rPr>
                <w:bCs/>
                <w:iCs/>
                <w:lang w:eastAsia="zh-CN"/>
              </w:rPr>
              <w:t xml:space="preserve"> agreed </w:t>
            </w:r>
            <w:r w:rsidR="00F74049">
              <w:rPr>
                <w:bCs/>
                <w:iCs/>
                <w:lang w:eastAsia="zh-CN"/>
              </w:rPr>
              <w:t xml:space="preserve">to be introduced </w:t>
            </w:r>
            <w:r>
              <w:rPr>
                <w:bCs/>
                <w:iCs/>
                <w:lang w:eastAsia="zh-CN"/>
              </w:rPr>
              <w:t>for</w:t>
            </w:r>
            <w:r w:rsidR="00F74049">
              <w:rPr>
                <w:bCs/>
                <w:iCs/>
                <w:lang w:eastAsia="zh-CN"/>
              </w:rPr>
              <w:t xml:space="preserve"> the case wherein NCSG is configured as a per-FR gap in FR2. </w:t>
            </w:r>
          </w:p>
          <w:p w14:paraId="36BB06BE" w14:textId="77777777" w:rsidR="001E02F5" w:rsidRDefault="001E02F5" w:rsidP="001E02F5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  <w:p w14:paraId="3FFE7ACB" w14:textId="013E77C6" w:rsidR="008769DD" w:rsidRPr="005875F6" w:rsidRDefault="008F2F6B" w:rsidP="008769DD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Per-UE NCSG and per-FR NCSG</w:t>
            </w:r>
          </w:p>
          <w:p w14:paraId="20B99A6F" w14:textId="77777777" w:rsidR="008769DD" w:rsidRDefault="008769DD" w:rsidP="008769DD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0B666241" w14:textId="78612273" w:rsidR="008769DD" w:rsidRDefault="008F2F6B" w:rsidP="008769D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lang w:eastAsia="zh-CN"/>
              </w:rPr>
              <w:t>It is FFS w</w:t>
            </w:r>
            <w:r w:rsidRPr="008769DD">
              <w:rPr>
                <w:lang w:eastAsia="zh-CN"/>
              </w:rPr>
              <w:t>hether additional UE capability is needed for per-UE and per-FR differentiation for NCSG on top of that defined for legacy gap</w:t>
            </w:r>
          </w:p>
          <w:p w14:paraId="769CC7F1" w14:textId="0F11BE37" w:rsidR="008769DD" w:rsidRPr="00F02319" w:rsidRDefault="008769DD" w:rsidP="001E02F5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</w:tc>
      </w:tr>
    </w:tbl>
    <w:p w14:paraId="60341970" w14:textId="0082777A" w:rsidR="004537F1" w:rsidRDefault="007E02A2" w:rsidP="004537F1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Besides, </w:t>
      </w:r>
      <w:r w:rsidR="004537F1">
        <w:rPr>
          <w:szCs w:val="22"/>
        </w:rPr>
        <w:t xml:space="preserve">RAN4 identified that efficiency of NCSG can be increased if </w:t>
      </w:r>
      <w:r w:rsidR="004537F1" w:rsidRPr="004E1037">
        <w:rPr>
          <w:szCs w:val="22"/>
        </w:rPr>
        <w:t>the SSB indexes of target cell(s) on a frequency different than serving cell frequency can be derived from a serving cell</w:t>
      </w:r>
      <w:r w:rsidR="004537F1">
        <w:rPr>
          <w:szCs w:val="22"/>
        </w:rPr>
        <w:t xml:space="preserve">. However, </w:t>
      </w:r>
      <w:r w:rsidR="00F23669">
        <w:rPr>
          <w:szCs w:val="22"/>
          <w:lang w:val="en-US"/>
        </w:rPr>
        <w:t>t</w:t>
      </w:r>
      <w:r w:rsidR="004537F1" w:rsidRPr="004537F1">
        <w:rPr>
          <w:szCs w:val="22"/>
          <w:lang w:val="en-US"/>
        </w:rPr>
        <w:t xml:space="preserve">he flag </w:t>
      </w:r>
      <w:proofErr w:type="spellStart"/>
      <w:r w:rsidR="004537F1" w:rsidRPr="004537F1">
        <w:rPr>
          <w:i/>
          <w:iCs/>
          <w:szCs w:val="22"/>
          <w:lang w:val="en-US"/>
        </w:rPr>
        <w:t>deriveSSB-IndexFromCell</w:t>
      </w:r>
      <w:proofErr w:type="spellEnd"/>
      <w:r w:rsidR="004537F1" w:rsidRPr="004537F1">
        <w:rPr>
          <w:szCs w:val="22"/>
        </w:rPr>
        <w:t xml:space="preserve"> introduced in R15 </w:t>
      </w:r>
      <w:r w:rsidR="004537F1">
        <w:rPr>
          <w:szCs w:val="22"/>
        </w:rPr>
        <w:t xml:space="preserve">can only </w:t>
      </w:r>
      <w:r w:rsidR="004537F1" w:rsidRPr="004537F1">
        <w:rPr>
          <w:szCs w:val="22"/>
        </w:rPr>
        <w:t>enable UE to derive SSB indexes of target cell(s) on the same frequency as the serving cell frequency</w:t>
      </w:r>
      <w:r w:rsidR="004537F1">
        <w:rPr>
          <w:szCs w:val="22"/>
        </w:rPr>
        <w:t xml:space="preserve">. </w:t>
      </w:r>
      <w:r w:rsidR="004537F1" w:rsidRPr="00F95561">
        <w:rPr>
          <w:rFonts w:hint="eastAsia"/>
          <w:szCs w:val="22"/>
        </w:rPr>
        <w:t>RAN4 kindly ask</w:t>
      </w:r>
      <w:r w:rsidR="004537F1" w:rsidRPr="00F95561">
        <w:rPr>
          <w:szCs w:val="22"/>
        </w:rPr>
        <w:t>s</w:t>
      </w:r>
      <w:r w:rsidR="004537F1" w:rsidRPr="00F95561">
        <w:rPr>
          <w:rFonts w:hint="eastAsia"/>
          <w:szCs w:val="22"/>
        </w:rPr>
        <w:t xml:space="preserve"> RAN</w:t>
      </w:r>
      <w:r w:rsidR="004537F1" w:rsidRPr="00F95561">
        <w:rPr>
          <w:szCs w:val="22"/>
        </w:rPr>
        <w:t>2</w:t>
      </w:r>
      <w:r w:rsidR="004537F1" w:rsidRPr="00F95561">
        <w:rPr>
          <w:rFonts w:hint="eastAsia"/>
          <w:szCs w:val="22"/>
        </w:rPr>
        <w:t xml:space="preserve"> to design the corresponding </w:t>
      </w:r>
      <w:r w:rsidR="004537F1" w:rsidRPr="00F95561">
        <w:rPr>
          <w:szCs w:val="22"/>
        </w:rPr>
        <w:t>signalling for enabling the derivation of SSB indexes of target cell(s) on a frequency different than serving cell frequency</w:t>
      </w:r>
      <w:r w:rsidR="000235FB">
        <w:rPr>
          <w:szCs w:val="22"/>
        </w:rPr>
        <w:t xml:space="preserve"> </w:t>
      </w:r>
      <w:r w:rsidR="00E72792">
        <w:rPr>
          <w:szCs w:val="22"/>
        </w:rPr>
        <w:t>from</w:t>
      </w:r>
      <w:r w:rsidR="004537F1" w:rsidRPr="00F95561">
        <w:rPr>
          <w:szCs w:val="22"/>
        </w:rPr>
        <w:t xml:space="preserve"> serving cell timing, to </w:t>
      </w:r>
      <w:r w:rsidR="004537F1">
        <w:rPr>
          <w:szCs w:val="22"/>
        </w:rPr>
        <w:t>increase NCSG efficiency.</w:t>
      </w:r>
    </w:p>
    <w:p w14:paraId="0C9A2104" w14:textId="77777777" w:rsidR="00715D5E" w:rsidRDefault="00E8457B" w:rsidP="004537F1">
      <w:pPr>
        <w:spacing w:beforeLines="100" w:before="240"/>
        <w:rPr>
          <w:iCs/>
          <w:szCs w:val="22"/>
          <w:lang w:val="en-US"/>
        </w:rPr>
      </w:pPr>
      <w:r>
        <w:rPr>
          <w:szCs w:val="22"/>
        </w:rPr>
        <w:t xml:space="preserve">The new </w:t>
      </w:r>
      <w:r>
        <w:rPr>
          <w:iCs/>
          <w:szCs w:val="22"/>
          <w:lang w:val="en-US"/>
        </w:rPr>
        <w:t xml:space="preserve">signaling </w:t>
      </w:r>
      <w:r w:rsidRPr="00E8457B">
        <w:rPr>
          <w:iCs/>
          <w:szCs w:val="22"/>
        </w:rPr>
        <w:t xml:space="preserve">can </w:t>
      </w:r>
      <w:r w:rsidRPr="00E8457B">
        <w:rPr>
          <w:rFonts w:hint="eastAsia"/>
          <w:iCs/>
          <w:szCs w:val="22"/>
        </w:rPr>
        <w:t>only</w:t>
      </w:r>
      <w:r w:rsidRPr="00E8457B">
        <w:rPr>
          <w:iCs/>
          <w:szCs w:val="22"/>
          <w:lang w:val="en-US"/>
        </w:rPr>
        <w:t xml:space="preserve"> be configured if the SCS of SSB is the same between target cell and the serving cell which is used for SSB indexes derivation</w:t>
      </w:r>
      <w:r>
        <w:rPr>
          <w:iCs/>
          <w:szCs w:val="22"/>
          <w:lang w:val="en-US"/>
        </w:rPr>
        <w:t xml:space="preserve">. </w:t>
      </w:r>
    </w:p>
    <w:p w14:paraId="2D339462" w14:textId="0FE6AE9A" w:rsidR="00E8457B" w:rsidRPr="001A1EAD" w:rsidRDefault="00E8457B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iCs/>
          <w:szCs w:val="22"/>
          <w:lang w:val="en-US"/>
        </w:rPr>
        <w:t xml:space="preserve">The new signaling </w:t>
      </w:r>
      <w:r w:rsidR="00517E10" w:rsidRPr="00715D5E">
        <w:rPr>
          <w:iCs/>
          <w:szCs w:val="22"/>
          <w:lang w:val="en-US"/>
        </w:rPr>
        <w:t>can be used</w:t>
      </w:r>
      <w:r w:rsidR="00C87E29" w:rsidRPr="00715D5E">
        <w:rPr>
          <w:iCs/>
          <w:szCs w:val="22"/>
          <w:lang w:val="en-US"/>
        </w:rPr>
        <w:t xml:space="preserve"> in both FR1 and FR2.</w:t>
      </w:r>
    </w:p>
    <w:p w14:paraId="1FC515ED" w14:textId="64A85256" w:rsidR="00715D5E" w:rsidRPr="001A1EAD" w:rsidRDefault="00715D5E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rFonts w:eastAsia="PMingLiU"/>
          <w:lang w:eastAsia="zh-TW"/>
        </w:rPr>
        <w:t xml:space="preserve">UE needs to </w:t>
      </w:r>
      <w:r>
        <w:rPr>
          <w:rFonts w:eastAsia="PMingLiU"/>
          <w:lang w:eastAsia="zh-TW"/>
        </w:rPr>
        <w:t>be indicated</w:t>
      </w:r>
      <w:r w:rsidRPr="00715D5E">
        <w:rPr>
          <w:rFonts w:eastAsia="PMingLiU"/>
          <w:lang w:eastAsia="zh-TW"/>
        </w:rPr>
        <w:t xml:space="preserve"> which serving cell to be referred </w:t>
      </w:r>
      <w:r>
        <w:rPr>
          <w:rFonts w:eastAsia="PMingLiU"/>
          <w:lang w:eastAsia="zh-TW"/>
        </w:rPr>
        <w:t xml:space="preserve">from </w:t>
      </w:r>
      <w:r w:rsidRPr="00715D5E">
        <w:rPr>
          <w:rFonts w:eastAsia="PMingLiU"/>
          <w:lang w:eastAsia="zh-TW"/>
        </w:rPr>
        <w:t>under CA</w:t>
      </w:r>
      <w:r>
        <w:rPr>
          <w:rFonts w:eastAsia="PMingLiU"/>
          <w:lang w:eastAsia="zh-TW"/>
        </w:rPr>
        <w:t>.</w:t>
      </w:r>
    </w:p>
    <w:p w14:paraId="286BAB20" w14:textId="03066688" w:rsidR="00715D5E" w:rsidRPr="00715D5E" w:rsidRDefault="00715D5E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rFonts w:eastAsia="PMingLiU"/>
          <w:lang w:eastAsia="zh-TW"/>
        </w:rPr>
        <w:t xml:space="preserve">The indication </w:t>
      </w:r>
      <w:r w:rsidR="000D15BF">
        <w:rPr>
          <w:rFonts w:eastAsia="PMingLiU"/>
          <w:lang w:eastAsia="zh-TW"/>
        </w:rPr>
        <w:t>can</w:t>
      </w:r>
      <w:r w:rsidRPr="00715D5E">
        <w:rPr>
          <w:rFonts w:eastAsia="PMingLiU"/>
          <w:lang w:eastAsia="zh-TW"/>
        </w:rPr>
        <w:t xml:space="preserve"> be per-MO</w:t>
      </w:r>
    </w:p>
    <w:p w14:paraId="5FD5CA00" w14:textId="2B8F728A" w:rsidR="00EA5317" w:rsidRPr="00E151CF" w:rsidRDefault="00007634" w:rsidP="00215829">
      <w:pPr>
        <w:spacing w:beforeLines="100" w:before="240"/>
        <w:rPr>
          <w:szCs w:val="22"/>
        </w:rPr>
      </w:pPr>
      <w:r>
        <w:rPr>
          <w:szCs w:val="22"/>
        </w:rPr>
        <w:t xml:space="preserve">The discussion for </w:t>
      </w:r>
      <w:r w:rsidR="00372835">
        <w:rPr>
          <w:szCs w:val="22"/>
        </w:rPr>
        <w:t>NCSG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27B34402" w14:textId="77777777" w:rsidR="00DE3B79" w:rsidRDefault="00DE3B79" w:rsidP="00DE3B79">
      <w:pPr>
        <w:pStyle w:val="Heading1"/>
      </w:pPr>
      <w:r>
        <w:lastRenderedPageBreak/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420E52CE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6E4CDB" w:rsidRPr="00882B7F">
        <w:rPr>
          <w:szCs w:val="22"/>
        </w:rPr>
        <w:t>.</w:t>
      </w:r>
      <w:r w:rsidR="006E4CDB" w:rsidRPr="00882B7F">
        <w:rPr>
          <w:rFonts w:hint="eastAsia"/>
          <w:szCs w:val="22"/>
          <w:lang w:eastAsia="zh-CN"/>
        </w:rPr>
        <w:t xml:space="preserve"> </w:t>
      </w:r>
      <w:r w:rsidR="009B52E1">
        <w:rPr>
          <w:szCs w:val="22"/>
        </w:rPr>
        <w:t xml:space="preserve">RAN4 </w:t>
      </w:r>
      <w:r w:rsidR="00B75A97">
        <w:rPr>
          <w:szCs w:val="22"/>
        </w:rPr>
        <w:t xml:space="preserve">also kindly asks RAN2 to </w:t>
      </w:r>
      <w:r w:rsidR="00B75A97" w:rsidRPr="00F95561">
        <w:rPr>
          <w:rFonts w:hint="eastAsia"/>
          <w:szCs w:val="22"/>
        </w:rPr>
        <w:t xml:space="preserve">design the </w:t>
      </w:r>
      <w:r w:rsidR="00E8457B">
        <w:rPr>
          <w:iCs/>
          <w:szCs w:val="22"/>
          <w:lang w:val="en-US"/>
        </w:rPr>
        <w:t xml:space="preserve">signaling </w:t>
      </w:r>
      <w:r w:rsidR="00B75A97" w:rsidRPr="00F95561">
        <w:rPr>
          <w:szCs w:val="22"/>
        </w:rPr>
        <w:t xml:space="preserve">for enabling the derivation of SSB indexes of target cell(s) on a frequency different than serving cell frequency, and the serving cell timing to utilize, to </w:t>
      </w:r>
      <w:r w:rsidR="00B75A97">
        <w:rPr>
          <w:szCs w:val="22"/>
        </w:rPr>
        <w:t>increase NCSG efficiency</w:t>
      </w:r>
      <w:r w:rsidR="009B52E1">
        <w:rPr>
          <w:szCs w:val="22"/>
        </w:rPr>
        <w:t>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965BA50" w14:textId="5970E171" w:rsidR="00F95561" w:rsidRPr="00F95561" w:rsidRDefault="00F95561" w:rsidP="00F95561">
      <w:pPr>
        <w:rPr>
          <w:bCs/>
        </w:rPr>
      </w:pPr>
      <w:r w:rsidRPr="00F95561">
        <w:rPr>
          <w:bCs/>
        </w:rPr>
        <w:t>TSG RAN WG4 Meeting #102-e               21 Feb - 3 Mar 2022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95561">
        <w:rPr>
          <w:bCs/>
        </w:rPr>
        <w:t xml:space="preserve"> Online </w:t>
      </w:r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4811B" w14:textId="77777777" w:rsidR="00487734" w:rsidRDefault="00487734">
      <w:r>
        <w:separator/>
      </w:r>
    </w:p>
  </w:endnote>
  <w:endnote w:type="continuationSeparator" w:id="0">
    <w:p w14:paraId="0477D1EA" w14:textId="77777777" w:rsidR="00487734" w:rsidRDefault="0048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7888F" w14:textId="77777777" w:rsidR="00487734" w:rsidRDefault="00487734">
      <w:r>
        <w:separator/>
      </w:r>
    </w:p>
  </w:footnote>
  <w:footnote w:type="continuationSeparator" w:id="0">
    <w:p w14:paraId="71E6A5EA" w14:textId="77777777" w:rsidR="00487734" w:rsidRDefault="00487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684352"/>
    <w:multiLevelType w:val="hybridMultilevel"/>
    <w:tmpl w:val="B238C5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4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9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9"/>
  </w:num>
  <w:num w:numId="7">
    <w:abstractNumId w:val="19"/>
  </w:num>
  <w:num w:numId="8">
    <w:abstractNumId w:val="37"/>
  </w:num>
  <w:num w:numId="9">
    <w:abstractNumId w:val="25"/>
  </w:num>
  <w:num w:numId="10">
    <w:abstractNumId w:val="34"/>
  </w:num>
  <w:num w:numId="11">
    <w:abstractNumId w:val="11"/>
  </w:num>
  <w:num w:numId="12">
    <w:abstractNumId w:val="28"/>
  </w:num>
  <w:num w:numId="13">
    <w:abstractNumId w:val="22"/>
  </w:num>
  <w:num w:numId="14">
    <w:abstractNumId w:val="6"/>
  </w:num>
  <w:num w:numId="15">
    <w:abstractNumId w:val="31"/>
  </w:num>
  <w:num w:numId="16">
    <w:abstractNumId w:val="20"/>
  </w:num>
  <w:num w:numId="17">
    <w:abstractNumId w:val="5"/>
  </w:num>
  <w:num w:numId="18">
    <w:abstractNumId w:val="0"/>
  </w:num>
  <w:num w:numId="19">
    <w:abstractNumId w:val="30"/>
  </w:num>
  <w:num w:numId="20">
    <w:abstractNumId w:val="40"/>
  </w:num>
  <w:num w:numId="21">
    <w:abstractNumId w:val="33"/>
  </w:num>
  <w:num w:numId="22">
    <w:abstractNumId w:val="10"/>
  </w:num>
  <w:num w:numId="23">
    <w:abstractNumId w:val="32"/>
  </w:num>
  <w:num w:numId="24">
    <w:abstractNumId w:val="14"/>
  </w:num>
  <w:num w:numId="25">
    <w:abstractNumId w:val="38"/>
  </w:num>
  <w:num w:numId="26">
    <w:abstractNumId w:val="16"/>
  </w:num>
  <w:num w:numId="27">
    <w:abstractNumId w:val="39"/>
  </w:num>
  <w:num w:numId="28">
    <w:abstractNumId w:val="1"/>
  </w:num>
  <w:num w:numId="29">
    <w:abstractNumId w:val="36"/>
  </w:num>
  <w:num w:numId="30">
    <w:abstractNumId w:val="17"/>
  </w:num>
  <w:num w:numId="31">
    <w:abstractNumId w:val="18"/>
  </w:num>
  <w:num w:numId="32">
    <w:abstractNumId w:val="2"/>
  </w:num>
  <w:num w:numId="33">
    <w:abstractNumId w:val="27"/>
  </w:num>
  <w:num w:numId="34">
    <w:abstractNumId w:val="15"/>
  </w:num>
  <w:num w:numId="35">
    <w:abstractNumId w:val="35"/>
  </w:num>
  <w:num w:numId="36">
    <w:abstractNumId w:val="29"/>
  </w:num>
  <w:num w:numId="37">
    <w:abstractNumId w:val="21"/>
  </w:num>
  <w:num w:numId="38">
    <w:abstractNumId w:val="24"/>
  </w:num>
  <w:num w:numId="39">
    <w:abstractNumId w:val="4"/>
  </w:num>
  <w:num w:numId="40">
    <w:abstractNumId w:val="12"/>
  </w:num>
  <w:num w:numId="4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63B4"/>
    <w:rsid w:val="000E67F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D4F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23C0"/>
    <w:rsid w:val="00604C71"/>
    <w:rsid w:val="00605354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EF6"/>
    <w:rsid w:val="0071014E"/>
    <w:rsid w:val="007103FD"/>
    <w:rsid w:val="00710F58"/>
    <w:rsid w:val="00711B71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E2E"/>
    <w:rsid w:val="009E0D94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6368"/>
    <w:rsid w:val="00A30211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C:\ETSI template\3gpp_70.dot</Template>
  <TotalTime>2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Qiming Li</cp:lastModifiedBy>
  <cp:revision>5</cp:revision>
  <cp:lastPrinted>2009-01-30T04:53:00Z</cp:lastPrinted>
  <dcterms:created xsi:type="dcterms:W3CDTF">2022-01-24T08:48:00Z</dcterms:created>
  <dcterms:modified xsi:type="dcterms:W3CDTF">2022-01-24T16:49:00Z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